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44" w:rsidRDefault="00DC7470" w:rsidP="00DC7470">
      <w:pPr>
        <w:jc w:val="center"/>
        <w:rPr>
          <w:b/>
          <w:sz w:val="24"/>
          <w:szCs w:val="24"/>
        </w:rPr>
      </w:pPr>
      <w:bookmarkStart w:id="0" w:name="_GoBack"/>
      <w:bookmarkEnd w:id="0"/>
      <w:r>
        <w:rPr>
          <w:b/>
          <w:sz w:val="24"/>
          <w:szCs w:val="24"/>
        </w:rPr>
        <w:t xml:space="preserve">Towards </w:t>
      </w:r>
      <w:r w:rsidRPr="006457B9">
        <w:rPr>
          <w:b/>
          <w:sz w:val="24"/>
          <w:szCs w:val="24"/>
        </w:rPr>
        <w:t>responsive curriculum and</w:t>
      </w:r>
      <w:r w:rsidR="00E869B8">
        <w:rPr>
          <w:b/>
          <w:sz w:val="24"/>
          <w:szCs w:val="24"/>
        </w:rPr>
        <w:t xml:space="preserve"> </w:t>
      </w:r>
      <w:r w:rsidR="003D3544" w:rsidRPr="006457B9">
        <w:rPr>
          <w:b/>
          <w:sz w:val="24"/>
          <w:szCs w:val="24"/>
        </w:rPr>
        <w:t>pedagogic practices</w:t>
      </w:r>
      <w:r w:rsidR="003D3544">
        <w:rPr>
          <w:b/>
          <w:sz w:val="24"/>
          <w:szCs w:val="24"/>
        </w:rPr>
        <w:t>:</w:t>
      </w:r>
    </w:p>
    <w:p w:rsidR="00DC7470" w:rsidRPr="006457B9" w:rsidRDefault="003D3544" w:rsidP="00DC7470">
      <w:pPr>
        <w:jc w:val="center"/>
        <w:rPr>
          <w:b/>
          <w:sz w:val="24"/>
          <w:szCs w:val="24"/>
        </w:rPr>
      </w:pPr>
      <w:r>
        <w:rPr>
          <w:b/>
          <w:sz w:val="24"/>
          <w:szCs w:val="24"/>
        </w:rPr>
        <w:t xml:space="preserve">Addressing </w:t>
      </w:r>
      <w:r w:rsidRPr="006457B9">
        <w:rPr>
          <w:b/>
          <w:sz w:val="24"/>
          <w:szCs w:val="24"/>
        </w:rPr>
        <w:t>vocational education</w:t>
      </w:r>
      <w:r>
        <w:rPr>
          <w:b/>
          <w:sz w:val="24"/>
          <w:szCs w:val="24"/>
        </w:rPr>
        <w:t>’s e</w:t>
      </w:r>
      <w:r w:rsidRPr="006457B9">
        <w:rPr>
          <w:b/>
          <w:sz w:val="24"/>
          <w:szCs w:val="24"/>
        </w:rPr>
        <w:t xml:space="preserve">merging </w:t>
      </w:r>
      <w:r>
        <w:rPr>
          <w:b/>
          <w:sz w:val="24"/>
          <w:szCs w:val="24"/>
        </w:rPr>
        <w:t>challenges</w:t>
      </w:r>
      <w:r w:rsidRPr="003D3544">
        <w:rPr>
          <w:b/>
          <w:sz w:val="24"/>
          <w:szCs w:val="24"/>
        </w:rPr>
        <w:t xml:space="preserve"> </w:t>
      </w:r>
      <w:r>
        <w:rPr>
          <w:b/>
          <w:sz w:val="24"/>
          <w:szCs w:val="24"/>
        </w:rPr>
        <w:t>for adaptive outcomes</w:t>
      </w:r>
    </w:p>
    <w:p w:rsidR="00DC7470" w:rsidRPr="00DC7470" w:rsidRDefault="00DC7470" w:rsidP="00DC7470">
      <w:pPr>
        <w:spacing w:before="120"/>
        <w:jc w:val="center"/>
        <w:rPr>
          <w:rFonts w:cstheme="minorHAnsi"/>
          <w:sz w:val="24"/>
          <w:szCs w:val="24"/>
        </w:rPr>
      </w:pPr>
      <w:r w:rsidRPr="00DC7470">
        <w:rPr>
          <w:rFonts w:cstheme="minorHAnsi"/>
          <w:sz w:val="24"/>
          <w:szCs w:val="24"/>
        </w:rPr>
        <w:t>Stephen Billett, Griffith University, Australia</w:t>
      </w:r>
    </w:p>
    <w:p w:rsidR="00DC7470" w:rsidRPr="00DC7470" w:rsidRDefault="00DC7470" w:rsidP="00DC7470">
      <w:pPr>
        <w:spacing w:before="120"/>
        <w:jc w:val="center"/>
        <w:rPr>
          <w:rFonts w:cstheme="minorHAnsi"/>
          <w:sz w:val="24"/>
          <w:szCs w:val="24"/>
        </w:rPr>
      </w:pPr>
      <w:r w:rsidRPr="00DC7470">
        <w:rPr>
          <w:rFonts w:cstheme="minorHAnsi"/>
          <w:color w:val="333333"/>
          <w:sz w:val="24"/>
          <w:szCs w:val="24"/>
          <w:shd w:val="clear" w:color="auto" w:fill="FFFFFF"/>
        </w:rPr>
        <w:t>NORDYRK 2019</w:t>
      </w:r>
    </w:p>
    <w:p w:rsidR="00DC7470" w:rsidRPr="00DC7470" w:rsidRDefault="00DC7470" w:rsidP="00DC7470">
      <w:pPr>
        <w:spacing w:before="120"/>
        <w:jc w:val="center"/>
        <w:rPr>
          <w:rFonts w:cstheme="minorHAnsi"/>
          <w:sz w:val="24"/>
          <w:szCs w:val="24"/>
        </w:rPr>
      </w:pPr>
      <w:r w:rsidRPr="00DC7470">
        <w:rPr>
          <w:rFonts w:cstheme="minorHAnsi"/>
          <w:sz w:val="24"/>
          <w:szCs w:val="24"/>
        </w:rPr>
        <w:t>Helsinki, Finland, 12</w:t>
      </w:r>
      <w:r w:rsidRPr="00DC7470">
        <w:rPr>
          <w:rFonts w:cstheme="minorHAnsi"/>
          <w:sz w:val="24"/>
          <w:szCs w:val="24"/>
          <w:vertAlign w:val="superscript"/>
        </w:rPr>
        <w:t>th</w:t>
      </w:r>
      <w:r w:rsidRPr="00DC7470">
        <w:rPr>
          <w:rFonts w:cstheme="minorHAnsi"/>
          <w:sz w:val="24"/>
          <w:szCs w:val="24"/>
        </w:rPr>
        <w:t xml:space="preserve"> to 14</w:t>
      </w:r>
      <w:r w:rsidRPr="00DC7470">
        <w:rPr>
          <w:rFonts w:cstheme="minorHAnsi"/>
          <w:sz w:val="24"/>
          <w:szCs w:val="24"/>
          <w:vertAlign w:val="superscript"/>
        </w:rPr>
        <w:t>th</w:t>
      </w:r>
      <w:r w:rsidRPr="00DC7470">
        <w:rPr>
          <w:rFonts w:cstheme="minorHAnsi"/>
          <w:sz w:val="24"/>
          <w:szCs w:val="24"/>
        </w:rPr>
        <w:t xml:space="preserve"> June 2019</w:t>
      </w:r>
    </w:p>
    <w:p w:rsidR="00DC7470" w:rsidRDefault="00DC7470" w:rsidP="00DC7470"/>
    <w:p w:rsidR="008C007E" w:rsidRDefault="00DC7470" w:rsidP="00DC7470">
      <w:r>
        <w:t>Changes in occupation</w:t>
      </w:r>
      <w:r w:rsidR="00C51ABA">
        <w:t xml:space="preserve">al and workplace performance </w:t>
      </w:r>
      <w:r>
        <w:t xml:space="preserve">requirements and increasingly dynamic working lives prompts fresh considerations </w:t>
      </w:r>
      <w:r w:rsidR="00C51ABA">
        <w:t xml:space="preserve">about </w:t>
      </w:r>
      <w:r>
        <w:t>the goals for and processes of vocational education</w:t>
      </w:r>
      <w:r w:rsidR="00CD5B49">
        <w:t>, albeit in schools or specialised institutions</w:t>
      </w:r>
      <w:r w:rsidR="00E30973">
        <w:t xml:space="preserve">. This </w:t>
      </w:r>
      <w:r>
        <w:t>includ</w:t>
      </w:r>
      <w:r w:rsidR="00E30973">
        <w:t>es</w:t>
      </w:r>
      <w:r>
        <w:t xml:space="preserve"> the kinds curriculum and pedagogic practices </w:t>
      </w:r>
      <w:r w:rsidR="00E30973">
        <w:t>enac</w:t>
      </w:r>
      <w:r>
        <w:t xml:space="preserve">ted and </w:t>
      </w:r>
      <w:r w:rsidR="00C51ABA">
        <w:t xml:space="preserve">how </w:t>
      </w:r>
      <w:r w:rsidR="00E30973">
        <w:t xml:space="preserve">vocational education </w:t>
      </w:r>
      <w:r>
        <w:t>students</w:t>
      </w:r>
      <w:r w:rsidR="00C51ABA">
        <w:t xml:space="preserve"> are positioned</w:t>
      </w:r>
      <w:r>
        <w:t xml:space="preserve">. </w:t>
      </w:r>
      <w:r w:rsidR="00C51ABA">
        <w:t>Addressing t</w:t>
      </w:r>
      <w:r>
        <w:t>h</w:t>
      </w:r>
      <w:r w:rsidR="00EA5653">
        <w:t xml:space="preserve">ese challenges, this </w:t>
      </w:r>
      <w:r>
        <w:t>presentation</w:t>
      </w:r>
      <w:r w:rsidR="00E30973">
        <w:t>,</w:t>
      </w:r>
      <w:r>
        <w:t xml:space="preserve"> </w:t>
      </w:r>
      <w:r w:rsidR="00E30973">
        <w:t xml:space="preserve">initially, </w:t>
      </w:r>
      <w:r>
        <w:t>outlines some key changes that are requiring a reconfiguring the goals for vocational education. These include: i) a growing focus on job readiness as well as occupational preparation; ii) increas</w:t>
      </w:r>
      <w:r w:rsidR="00EA5653">
        <w:t>ing</w:t>
      </w:r>
      <w:r>
        <w:t xml:space="preserve"> requirement for conceptual and symbolic knowledge in contemporary work; </w:t>
      </w:r>
      <w:r w:rsidR="009F10A4">
        <w:t xml:space="preserve">iii) </w:t>
      </w:r>
      <w:r>
        <w:t>the importance of working interdependently (e.g. in teams)</w:t>
      </w:r>
      <w:r w:rsidR="009F10A4">
        <w:t xml:space="preserve">; and </w:t>
      </w:r>
      <w:r w:rsidR="00E30973">
        <w:t xml:space="preserve">iv) </w:t>
      </w:r>
      <w:r w:rsidR="009F10A4">
        <w:t xml:space="preserve">be </w:t>
      </w:r>
      <w:r w:rsidR="00EA5653">
        <w:t xml:space="preserve">adaptive and </w:t>
      </w:r>
      <w:r w:rsidR="009F10A4">
        <w:t>innovative</w:t>
      </w:r>
      <w:r>
        <w:t>. S</w:t>
      </w:r>
      <w:r w:rsidR="009F10A4">
        <w:t xml:space="preserve">itting across these </w:t>
      </w:r>
      <w:r>
        <w:t xml:space="preserve">changes is the </w:t>
      </w:r>
      <w:r w:rsidR="00EA5653">
        <w:t xml:space="preserve">salience </w:t>
      </w:r>
      <w:r>
        <w:t xml:space="preserve">for </w:t>
      </w:r>
      <w:r w:rsidR="00E30973">
        <w:t xml:space="preserve">vocational education graduates and </w:t>
      </w:r>
      <w:r>
        <w:t>students to be</w:t>
      </w:r>
      <w:r w:rsidR="00EA5653">
        <w:t xml:space="preserve">come </w:t>
      </w:r>
      <w:r>
        <w:t xml:space="preserve">active </w:t>
      </w:r>
      <w:r w:rsidR="009F10A4">
        <w:t xml:space="preserve">and adaptive learners for their </w:t>
      </w:r>
      <w:r>
        <w:t xml:space="preserve">initial occupational preparation, </w:t>
      </w:r>
      <w:r w:rsidR="009F10A4">
        <w:t xml:space="preserve">and </w:t>
      </w:r>
      <w:r>
        <w:t xml:space="preserve">their ongoing development across lengthening working lives. </w:t>
      </w:r>
    </w:p>
    <w:p w:rsidR="008C007E" w:rsidRDefault="00EA5653" w:rsidP="000D0666">
      <w:pPr>
        <w:ind w:firstLine="432"/>
      </w:pPr>
      <w:r>
        <w:t>I</w:t>
      </w:r>
      <w:r w:rsidR="009F10A4">
        <w:t xml:space="preserve">t is </w:t>
      </w:r>
      <w:r>
        <w:t xml:space="preserve">then </w:t>
      </w:r>
      <w:r w:rsidR="009F10A4">
        <w:t xml:space="preserve">proposed that models of </w:t>
      </w:r>
      <w:r w:rsidR="00DC7470">
        <w:t xml:space="preserve">vocational education curriculum </w:t>
      </w:r>
      <w:r w:rsidR="009F10A4">
        <w:t xml:space="preserve">are required </w:t>
      </w:r>
      <w:r>
        <w:t xml:space="preserve">that are responsive </w:t>
      </w:r>
      <w:r w:rsidR="009F10A4">
        <w:t>to these demands that emphases work</w:t>
      </w:r>
      <w:r w:rsidR="00272F76">
        <w:t>p</w:t>
      </w:r>
      <w:r w:rsidR="009F10A4">
        <w:t xml:space="preserve">lace or practice-based </w:t>
      </w:r>
      <w:r w:rsidR="00272F76">
        <w:t xml:space="preserve">experiences. </w:t>
      </w:r>
      <w:r w:rsidR="00DC7470">
        <w:t xml:space="preserve">Broadly, these responses are those associated with provisions </w:t>
      </w:r>
      <w:r w:rsidR="00272F76">
        <w:t xml:space="preserve">of activities and interactions </w:t>
      </w:r>
      <w:r w:rsidR="00DC7470">
        <w:t xml:space="preserve">in vocational education institutions </w:t>
      </w:r>
      <w:r w:rsidR="00272F76">
        <w:t xml:space="preserve">and workplaces that are structured to </w:t>
      </w:r>
      <w:r>
        <w:t xml:space="preserve">assist the </w:t>
      </w:r>
      <w:r w:rsidR="00272F76">
        <w:t>develop adaptive occupational capacities t</w:t>
      </w:r>
      <w:r>
        <w:t>o</w:t>
      </w:r>
      <w:r w:rsidR="00272F76">
        <w:t xml:space="preserve"> </w:t>
      </w:r>
      <w:r>
        <w:t>support gr</w:t>
      </w:r>
      <w:r w:rsidR="00272F76">
        <w:t xml:space="preserve">aduates’ transitions to initial employment and then adapt to changing work requirements </w:t>
      </w:r>
      <w:r>
        <w:t xml:space="preserve">across working life </w:t>
      </w:r>
      <w:r w:rsidR="00272F76">
        <w:t>through informed principles and practices.</w:t>
      </w:r>
    </w:p>
    <w:p w:rsidR="00CD5B49" w:rsidRDefault="008C007E" w:rsidP="000D0666">
      <w:pPr>
        <w:ind w:firstLine="432"/>
      </w:pPr>
      <w:r>
        <w:t xml:space="preserve">Beyond </w:t>
      </w:r>
      <w:r w:rsidR="00DC7470">
        <w:t xml:space="preserve">considerations </w:t>
      </w:r>
      <w:r>
        <w:t xml:space="preserve">about </w:t>
      </w:r>
      <w:r w:rsidR="00DC7470">
        <w:t xml:space="preserve">the sequencing, duration and means of </w:t>
      </w:r>
      <w:r>
        <w:t xml:space="preserve">integrating </w:t>
      </w:r>
      <w:r w:rsidR="00DC7470">
        <w:t>workplace</w:t>
      </w:r>
      <w:r>
        <w:t xml:space="preserve"> or practice-based</w:t>
      </w:r>
      <w:r w:rsidR="00DC7470">
        <w:t>-based experiences</w:t>
      </w:r>
      <w:r w:rsidR="00EA5653">
        <w:t xml:space="preserve"> are</w:t>
      </w:r>
      <w:r>
        <w:t xml:space="preserve"> th</w:t>
      </w:r>
      <w:r w:rsidR="00EA5653">
        <w:t xml:space="preserve">ose about the </w:t>
      </w:r>
      <w:r>
        <w:t>selection and use of pedagogic</w:t>
      </w:r>
      <w:r w:rsidR="00272F76">
        <w:t xml:space="preserve"> practices</w:t>
      </w:r>
      <w:r>
        <w:t xml:space="preserve">. These </w:t>
      </w:r>
      <w:r w:rsidR="00E30973">
        <w:t xml:space="preserve">practices </w:t>
      </w:r>
      <w:r w:rsidR="00EA5653">
        <w:t xml:space="preserve">variously </w:t>
      </w:r>
      <w:r w:rsidR="00272F76">
        <w:t>augment, extend and integrate the experiences provided for vocational education students</w:t>
      </w:r>
      <w:r>
        <w:t xml:space="preserve"> and engage them with </w:t>
      </w:r>
      <w:r w:rsidR="00CD5B49">
        <w:t xml:space="preserve">them to </w:t>
      </w:r>
      <w:r w:rsidR="00272F76">
        <w:t>deve</w:t>
      </w:r>
      <w:r w:rsidR="00EA5653">
        <w:t xml:space="preserve">lop </w:t>
      </w:r>
      <w:r w:rsidR="00272F76">
        <w:t>adaptive capacities</w:t>
      </w:r>
      <w:r>
        <w:t xml:space="preserve"> for emerging occupational and workplace performance requirement</w:t>
      </w:r>
      <w:r w:rsidR="00EA5653">
        <w:t>s</w:t>
      </w:r>
      <w:r w:rsidR="00272F76">
        <w:t xml:space="preserve">. </w:t>
      </w:r>
      <w:r w:rsidR="000D0666">
        <w:t xml:space="preserve">Within these deliberations about </w:t>
      </w:r>
      <w:r w:rsidR="00CD5B49">
        <w:t xml:space="preserve">augmenting experiences in </w:t>
      </w:r>
      <w:r w:rsidR="000D0666">
        <w:t>education and workplace settings are those associated with developing students’ capacit</w:t>
      </w:r>
      <w:r w:rsidR="00EC3ACE">
        <w:t>ies</w:t>
      </w:r>
      <w:r w:rsidR="000D0666">
        <w:t xml:space="preserve"> to be active, effective and intentional learner-workers. That is, preparing students to be interdependent learners across the</w:t>
      </w:r>
      <w:r w:rsidR="00A233E3">
        <w:t>ir</w:t>
      </w:r>
      <w:r w:rsidR="000D0666">
        <w:t xml:space="preserve"> working lives. </w:t>
      </w:r>
    </w:p>
    <w:p w:rsidR="00BC16B7" w:rsidRDefault="00CD5B49" w:rsidP="000D0666">
      <w:pPr>
        <w:ind w:firstLine="432"/>
      </w:pPr>
      <w:r>
        <w:t>In all, e</w:t>
      </w:r>
      <w:r w:rsidR="008C007E">
        <w:t>ducation</w:t>
      </w:r>
      <w:r w:rsidR="000D0666">
        <w:t>al</w:t>
      </w:r>
      <w:r w:rsidR="008C007E">
        <w:t xml:space="preserve"> goals and processes here also need </w:t>
      </w:r>
      <w:r w:rsidR="000D0666">
        <w:t>for</w:t>
      </w:r>
      <w:r w:rsidR="008C007E">
        <w:t xml:space="preserve"> developing adaptive capacities on the occupational plane </w:t>
      </w:r>
      <w:r w:rsidR="000D0666">
        <w:t>(e.g. informed principals a</w:t>
      </w:r>
      <w:r w:rsidR="008C007E">
        <w:t xml:space="preserve">nd </w:t>
      </w:r>
      <w:r w:rsidR="000D0666">
        <w:t xml:space="preserve">practice) and </w:t>
      </w:r>
      <w:r w:rsidR="008C007E">
        <w:t xml:space="preserve">active and intentional learning on the personal </w:t>
      </w:r>
      <w:r w:rsidR="000D0666">
        <w:t xml:space="preserve">epistemological </w:t>
      </w:r>
      <w:r w:rsidR="008C007E">
        <w:t xml:space="preserve">plane. </w:t>
      </w:r>
      <w:r w:rsidR="00BC16B7">
        <w:t xml:space="preserve">It is these kinds of </w:t>
      </w:r>
      <w:r w:rsidR="00A233E3">
        <w:t xml:space="preserve">curriculum, pedagogic and personal </w:t>
      </w:r>
      <w:r>
        <w:t xml:space="preserve">concerns </w:t>
      </w:r>
      <w:r w:rsidR="00A233E3">
        <w:t xml:space="preserve">that may </w:t>
      </w:r>
      <w:r>
        <w:t xml:space="preserve">be effective in </w:t>
      </w:r>
      <w:r w:rsidR="00A233E3">
        <w:t>secur</w:t>
      </w:r>
      <w:r>
        <w:t>ing</w:t>
      </w:r>
      <w:r w:rsidR="00A233E3">
        <w:t xml:space="preserve"> the kinds of </w:t>
      </w:r>
      <w:r w:rsidR="00E30973">
        <w:t xml:space="preserve">emerging </w:t>
      </w:r>
      <w:r w:rsidR="00A233E3">
        <w:t xml:space="preserve">outcomes required </w:t>
      </w:r>
      <w:r>
        <w:t>for</w:t>
      </w:r>
      <w:r w:rsidR="00A233E3">
        <w:t xml:space="preserve"> vocational education </w:t>
      </w:r>
      <w:r>
        <w:t xml:space="preserve">provisions whether in schools or colleges </w:t>
      </w:r>
      <w:r w:rsidR="00A233E3">
        <w:t xml:space="preserve">to be responsive to the </w:t>
      </w:r>
      <w:r w:rsidR="004876EE">
        <w:t xml:space="preserve">emerging </w:t>
      </w:r>
      <w:r w:rsidR="00A233E3">
        <w:t>occupational and workplace requir</w:t>
      </w:r>
      <w:r w:rsidR="00384B7C">
        <w:t>e</w:t>
      </w:r>
      <w:r w:rsidR="00A233E3">
        <w:t>ments.</w:t>
      </w:r>
    </w:p>
    <w:p w:rsidR="00DC7470" w:rsidRDefault="00DC7470"/>
    <w:p w:rsidR="00DC7470" w:rsidRDefault="00DC7470"/>
    <w:p w:rsidR="001D2CD8" w:rsidRPr="001B2F57" w:rsidRDefault="001D2CD8" w:rsidP="001D2CD8">
      <w:pPr>
        <w:autoSpaceDE w:val="0"/>
        <w:autoSpaceDN w:val="0"/>
        <w:adjustRightInd w:val="0"/>
        <w:spacing w:line="269" w:lineRule="auto"/>
        <w:rPr>
          <w:rFonts w:cs="Arial"/>
          <w:b/>
          <w:bCs/>
          <w:color w:val="000000"/>
          <w:lang w:eastAsia="en-AU"/>
        </w:rPr>
      </w:pPr>
      <w:r w:rsidRPr="001B2F57">
        <w:rPr>
          <w:rFonts w:cs="Arial"/>
          <w:b/>
          <w:bCs/>
          <w:color w:val="000000"/>
          <w:lang w:eastAsia="en-AU"/>
        </w:rPr>
        <w:t>Professor Stephen Billett</w:t>
      </w:r>
    </w:p>
    <w:p w:rsidR="001D2CD8" w:rsidRPr="00D30B61" w:rsidRDefault="001D2CD8" w:rsidP="001D2CD8">
      <w:pPr>
        <w:autoSpaceDE w:val="0"/>
        <w:autoSpaceDN w:val="0"/>
        <w:adjustRightInd w:val="0"/>
      </w:pPr>
      <w:r w:rsidRPr="00D30B61">
        <w:rPr>
          <w:color w:val="000000"/>
          <w:lang w:eastAsia="en-AU"/>
        </w:rPr>
        <w:lastRenderedPageBreak/>
        <w:t xml:space="preserve">Dr Stephen Billett is Professor of Adult and Vocational Education in the School of Education and Professional Studies at Griffith University, Brisbane, Australia and a National Teaching Fellow and Australian Research Council Future Fellow. After a career in garment manufacturing, he has worked as a vocational educator, educational administrator, teacher educator, professional development practitioner and policy developer in the Australian vocational education system and as a teacher and researcher at Griffith University. Since 1992, he has researched learning through and for work and has published widely in fields of learning of occupations, workplace learning, work and conceptual accounts of learning for vocational purposes. His sole authored books include </w:t>
      </w:r>
      <w:r w:rsidRPr="00D30B61">
        <w:rPr>
          <w:i/>
          <w:iCs/>
          <w:color w:val="000000"/>
          <w:lang w:eastAsia="en-AU"/>
        </w:rPr>
        <w:t>Learning through work: Strategies for effective practice (Allen and Unwin 2001); Work, change and workers (Springer 2006)</w:t>
      </w:r>
      <w:r w:rsidRPr="00D30B61">
        <w:rPr>
          <w:color w:val="000000"/>
          <w:lang w:eastAsia="en-AU"/>
        </w:rPr>
        <w:t xml:space="preserve"> </w:t>
      </w:r>
      <w:r w:rsidRPr="00D30B61">
        <w:rPr>
          <w:i/>
          <w:iCs/>
          <w:color w:val="000000"/>
          <w:lang w:eastAsia="en-AU"/>
        </w:rPr>
        <w:t>Vocational Education</w:t>
      </w:r>
      <w:r w:rsidRPr="00D30B61">
        <w:rPr>
          <w:color w:val="000000"/>
          <w:lang w:eastAsia="en-AU"/>
        </w:rPr>
        <w:t xml:space="preserve"> (Springer 2011) and </w:t>
      </w:r>
      <w:r w:rsidRPr="00D30B61">
        <w:rPr>
          <w:i/>
          <w:color w:val="000000"/>
          <w:lang w:eastAsia="en-AU"/>
        </w:rPr>
        <w:t>Mimetic learning at Work</w:t>
      </w:r>
      <w:r w:rsidRPr="00D30B61">
        <w:rPr>
          <w:color w:val="000000"/>
          <w:lang w:eastAsia="en-AU"/>
        </w:rPr>
        <w:t xml:space="preserve"> (2014) </w:t>
      </w:r>
      <w:r w:rsidRPr="00D30B61">
        <w:t xml:space="preserve">and </w:t>
      </w:r>
      <w:r w:rsidRPr="00D30B61">
        <w:rPr>
          <w:i/>
          <w:color w:val="000000"/>
          <w:lang w:eastAsia="en-AU"/>
        </w:rPr>
        <w:t>Integrating Practice-based Learning in Higher Education Programs (Springer 2015)</w:t>
      </w:r>
      <w:r w:rsidRPr="00D30B61">
        <w:rPr>
          <w:color w:val="000000"/>
          <w:lang w:eastAsia="en-AU"/>
        </w:rPr>
        <w:t xml:space="preserve">. His edited books include </w:t>
      </w:r>
      <w:r w:rsidRPr="00D30B61">
        <w:rPr>
          <w:i/>
          <w:iCs/>
          <w:color w:val="000000"/>
          <w:lang w:eastAsia="en-AU"/>
        </w:rPr>
        <w:t>Work, Subjectivity and Learning (Springer, 2006) Emerging Perspectives of Work and Learning</w:t>
      </w:r>
      <w:r w:rsidRPr="00D30B61">
        <w:rPr>
          <w:color w:val="000000"/>
          <w:lang w:eastAsia="en-AU"/>
        </w:rPr>
        <w:t xml:space="preserve"> (Sense 2008), </w:t>
      </w:r>
      <w:r w:rsidRPr="00D30B61">
        <w:rPr>
          <w:i/>
          <w:color w:val="000000"/>
          <w:lang w:eastAsia="en-AU"/>
        </w:rPr>
        <w:t>Learning through practice</w:t>
      </w:r>
      <w:r w:rsidRPr="00D30B61">
        <w:rPr>
          <w:color w:val="000000"/>
          <w:lang w:eastAsia="en-AU"/>
        </w:rPr>
        <w:t xml:space="preserve"> (Springer 2010), </w:t>
      </w:r>
      <w:r w:rsidRPr="00D30B61">
        <w:rPr>
          <w:i/>
          <w:color w:val="000000"/>
          <w:lang w:eastAsia="en-AU"/>
        </w:rPr>
        <w:t xml:space="preserve">Promoting professional learning </w:t>
      </w:r>
      <w:r w:rsidRPr="00D30B61">
        <w:rPr>
          <w:color w:val="000000"/>
          <w:lang w:eastAsia="en-AU"/>
        </w:rPr>
        <w:t xml:space="preserve">(Springer 2011), </w:t>
      </w:r>
      <w:r w:rsidRPr="00D30B61">
        <w:rPr>
          <w:i/>
        </w:rPr>
        <w:t xml:space="preserve">Experiences of school transitions </w:t>
      </w:r>
      <w:r w:rsidRPr="00D30B61">
        <w:t xml:space="preserve">(Springer 2012), </w:t>
      </w:r>
      <w:r w:rsidRPr="00D30B61">
        <w:rPr>
          <w:i/>
        </w:rPr>
        <w:t xml:space="preserve">Promoting, assessing, recognizing and certifying Lifelong </w:t>
      </w:r>
      <w:r w:rsidRPr="00D30B61">
        <w:t xml:space="preserve">Learning (Springer </w:t>
      </w:r>
      <w:r w:rsidRPr="00D30B61">
        <w:rPr>
          <w:color w:val="000000"/>
          <w:lang w:eastAsia="en-AU"/>
        </w:rPr>
        <w:t xml:space="preserve">2014), </w:t>
      </w:r>
      <w:r w:rsidRPr="00D30B61">
        <w:rPr>
          <w:i/>
          <w:color w:val="000000"/>
          <w:lang w:eastAsia="en-AU"/>
        </w:rPr>
        <w:t>Francophone conceptions of Learning through practice</w:t>
      </w:r>
      <w:r w:rsidRPr="00D30B61">
        <w:rPr>
          <w:color w:val="000000"/>
          <w:lang w:eastAsia="en-AU"/>
        </w:rPr>
        <w:t xml:space="preserve"> (Springer 2015), </w:t>
      </w:r>
      <w:r w:rsidRPr="00D30B61">
        <w:rPr>
          <w:i/>
        </w:rPr>
        <w:t>Supporting learning across working life: Models, processes and practices</w:t>
      </w:r>
      <w:r w:rsidRPr="00D30B61">
        <w:t xml:space="preserve"> (</w:t>
      </w:r>
      <w:r w:rsidRPr="00D30B61">
        <w:rPr>
          <w:lang w:val="en-US"/>
        </w:rPr>
        <w:t>Springer 2016)</w:t>
      </w:r>
      <w:r w:rsidRPr="00D30B61">
        <w:rPr>
          <w:color w:val="000000"/>
          <w:lang w:eastAsia="en-AU"/>
        </w:rPr>
        <w:t xml:space="preserve"> and </w:t>
      </w:r>
      <w:r w:rsidRPr="00D30B61">
        <w:rPr>
          <w:i/>
          <w:color w:val="000000"/>
          <w:lang w:eastAsia="en-AU"/>
        </w:rPr>
        <w:t>Enhancing Teaching and Learning in the Dutch Vocational Education</w:t>
      </w:r>
      <w:r w:rsidRPr="00D30B61">
        <w:rPr>
          <w:color w:val="000000"/>
          <w:lang w:eastAsia="en-AU"/>
        </w:rPr>
        <w:t xml:space="preserve"> </w:t>
      </w:r>
      <w:r w:rsidRPr="00D30B61">
        <w:rPr>
          <w:i/>
          <w:color w:val="000000"/>
          <w:lang w:eastAsia="en-AU"/>
        </w:rPr>
        <w:t>System</w:t>
      </w:r>
      <w:r w:rsidRPr="00D30B61">
        <w:rPr>
          <w:color w:val="000000"/>
          <w:lang w:eastAsia="en-AU"/>
        </w:rPr>
        <w:t xml:space="preserve"> (Springer 2017). He is the founding and Editor in Chief of Vocations and learning: Studies in vocational and professional education (Springer) and lead editor of the book series Professional and practice-based learning (Springer) the International</w:t>
      </w:r>
      <w:r w:rsidRPr="00D30B61">
        <w:rPr>
          <w:i/>
          <w:color w:val="000000"/>
          <w:lang w:eastAsia="en-AU"/>
        </w:rPr>
        <w:t xml:space="preserve"> Handbook of Research in Professional and Practice-based Learning (2014) </w:t>
      </w:r>
      <w:r w:rsidRPr="00D30B61">
        <w:rPr>
          <w:color w:val="000000"/>
          <w:lang w:eastAsia="en-AU"/>
        </w:rPr>
        <w:t xml:space="preserve">with colleagues from Germany. He was a Fulbright Professional Scholar in 1999, awarded a 2009-2010 Australian Learning and Teaching Council National Teaching Fellowship that identified principles and practices to effectively integrate learning experiences in practice and academic settings. </w:t>
      </w:r>
      <w:r>
        <w:rPr>
          <w:color w:val="000000"/>
          <w:lang w:eastAsia="en-AU"/>
        </w:rPr>
        <w:t xml:space="preserve">His </w:t>
      </w:r>
      <w:r w:rsidRPr="00D30B61">
        <w:rPr>
          <w:color w:val="000000"/>
          <w:lang w:eastAsia="en-AU"/>
        </w:rPr>
        <w:t xml:space="preserve">four-year Australian Research Council Future Fellowship </w:t>
      </w:r>
      <w:r>
        <w:rPr>
          <w:color w:val="000000"/>
          <w:lang w:eastAsia="en-AU"/>
        </w:rPr>
        <w:t>(</w:t>
      </w:r>
      <w:r w:rsidRPr="00D30B61">
        <w:rPr>
          <w:color w:val="000000"/>
          <w:lang w:eastAsia="en-AU"/>
        </w:rPr>
        <w:t>2015</w:t>
      </w:r>
      <w:r>
        <w:rPr>
          <w:color w:val="000000"/>
          <w:lang w:eastAsia="en-AU"/>
        </w:rPr>
        <w:t xml:space="preserve">-2018) </w:t>
      </w:r>
      <w:r w:rsidRPr="00D30B61">
        <w:rPr>
          <w:color w:val="000000"/>
          <w:lang w:eastAsia="en-AU"/>
        </w:rPr>
        <w:t>on learning through practice identified a curri</w:t>
      </w:r>
      <w:r>
        <w:rPr>
          <w:color w:val="000000"/>
          <w:lang w:eastAsia="en-AU"/>
        </w:rPr>
        <w:t xml:space="preserve">culum and pedagogy of practice, and his </w:t>
      </w:r>
      <w:r w:rsidRPr="00D30B61">
        <w:rPr>
          <w:color w:val="000000"/>
          <w:lang w:eastAsia="en-AU"/>
        </w:rPr>
        <w:t>Office of Learning and Teaching Development national grant (2015-2018)</w:t>
      </w:r>
      <w:r>
        <w:rPr>
          <w:color w:val="000000"/>
          <w:lang w:eastAsia="en-AU"/>
        </w:rPr>
        <w:t xml:space="preserve"> examined</w:t>
      </w:r>
      <w:r w:rsidRPr="00D30B61">
        <w:rPr>
          <w:color w:val="000000"/>
          <w:lang w:eastAsia="en-AU"/>
        </w:rPr>
        <w:t xml:space="preserve"> </w:t>
      </w:r>
      <w:r>
        <w:rPr>
          <w:color w:val="000000"/>
          <w:lang w:eastAsia="en-AU"/>
        </w:rPr>
        <w:t xml:space="preserve">higher education </w:t>
      </w:r>
      <w:r w:rsidRPr="00D30B61">
        <w:rPr>
          <w:color w:val="000000"/>
          <w:lang w:eastAsia="en-AU"/>
        </w:rPr>
        <w:t xml:space="preserve">students’ post-practicum experiences. In August 2013, he was awarded an honorary doctorate by </w:t>
      </w:r>
      <w:proofErr w:type="spellStart"/>
      <w:r w:rsidRPr="00D30B61">
        <w:rPr>
          <w:color w:val="000000"/>
          <w:lang w:eastAsia="en-AU"/>
        </w:rPr>
        <w:t>Jyvasksla</w:t>
      </w:r>
      <w:proofErr w:type="spellEnd"/>
      <w:r w:rsidRPr="00D30B61">
        <w:rPr>
          <w:color w:val="000000"/>
          <w:lang w:eastAsia="en-AU"/>
        </w:rPr>
        <w:t xml:space="preserve"> University (Finland) for his contributions to educational science and elected Fellow of the Academy of Social Sciences of Australia in 2015. He currently leads research projects in Australia, </w:t>
      </w:r>
      <w:r>
        <w:rPr>
          <w:color w:val="000000"/>
          <w:lang w:eastAsia="en-AU"/>
        </w:rPr>
        <w:t xml:space="preserve">Norway, </w:t>
      </w:r>
      <w:r w:rsidRPr="00D30B61">
        <w:rPr>
          <w:color w:val="000000"/>
          <w:lang w:eastAsia="en-AU"/>
        </w:rPr>
        <w:t>Singapore and the Middle East</w:t>
      </w:r>
      <w:r>
        <w:rPr>
          <w:color w:val="000000"/>
          <w:lang w:eastAsia="en-AU"/>
        </w:rPr>
        <w:t>, on learning across working life, confronting changes in working life, supporting adults learning across working life and the status and standing of occupations and provisions of tertiary education</w:t>
      </w:r>
      <w:r w:rsidRPr="00D30B61">
        <w:rPr>
          <w:color w:val="000000"/>
          <w:lang w:eastAsia="en-AU"/>
        </w:rPr>
        <w:t>.</w:t>
      </w:r>
    </w:p>
    <w:p w:rsidR="00DC7470" w:rsidRDefault="00DC7470"/>
    <w:p w:rsidR="00DC7470" w:rsidRDefault="00DC7470"/>
    <w:sectPr w:rsidR="00DC7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70"/>
    <w:rsid w:val="000D0666"/>
    <w:rsid w:val="001634D7"/>
    <w:rsid w:val="001D2CD8"/>
    <w:rsid w:val="00272F76"/>
    <w:rsid w:val="00384B7C"/>
    <w:rsid w:val="003D3544"/>
    <w:rsid w:val="00422379"/>
    <w:rsid w:val="004876EE"/>
    <w:rsid w:val="006B5345"/>
    <w:rsid w:val="008C007E"/>
    <w:rsid w:val="009F10A4"/>
    <w:rsid w:val="00A233E3"/>
    <w:rsid w:val="00BC16B7"/>
    <w:rsid w:val="00C51ABA"/>
    <w:rsid w:val="00CD5B49"/>
    <w:rsid w:val="00DC7470"/>
    <w:rsid w:val="00E30973"/>
    <w:rsid w:val="00E869B8"/>
    <w:rsid w:val="00EA5653"/>
    <w:rsid w:val="00EC3ACE"/>
    <w:rsid w:val="00F5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021F-7576-4530-B027-FBD57051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70"/>
    <w:pPr>
      <w:spacing w:after="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Billett</dc:creator>
  <cp:keywords/>
  <dc:description/>
  <cp:lastModifiedBy>Maria von Bonsdorff-Hermunen</cp:lastModifiedBy>
  <cp:revision>2</cp:revision>
  <dcterms:created xsi:type="dcterms:W3CDTF">2019-02-27T16:08:00Z</dcterms:created>
  <dcterms:modified xsi:type="dcterms:W3CDTF">2019-02-27T16:08:00Z</dcterms:modified>
</cp:coreProperties>
</file>